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442F" w14:textId="77777777" w:rsidR="00FE067E" w:rsidRPr="003D353F" w:rsidRDefault="00CD36CF" w:rsidP="00F35C12">
      <w:pPr>
        <w:pStyle w:val="TitlePageOrigin"/>
        <w:rPr>
          <w:color w:val="auto"/>
        </w:rPr>
      </w:pPr>
      <w:r w:rsidRPr="003D353F">
        <w:rPr>
          <w:color w:val="auto"/>
        </w:rPr>
        <w:t>WEST virginia legislature</w:t>
      </w:r>
    </w:p>
    <w:p w14:paraId="3C688402" w14:textId="77777777" w:rsidR="00CD36CF" w:rsidRPr="003D353F" w:rsidRDefault="00470D6E" w:rsidP="00F35C12">
      <w:pPr>
        <w:pStyle w:val="TitlePageSession"/>
        <w:rPr>
          <w:color w:val="auto"/>
        </w:rPr>
      </w:pPr>
      <w:r w:rsidRPr="003D353F">
        <w:rPr>
          <w:color w:val="auto"/>
        </w:rPr>
        <w:t>20</w:t>
      </w:r>
      <w:r w:rsidR="007C2B4B" w:rsidRPr="003D353F">
        <w:rPr>
          <w:color w:val="auto"/>
        </w:rPr>
        <w:t>2</w:t>
      </w:r>
      <w:r w:rsidR="004F2845" w:rsidRPr="003D353F">
        <w:rPr>
          <w:color w:val="auto"/>
        </w:rPr>
        <w:t>2</w:t>
      </w:r>
      <w:r w:rsidR="00CD36CF" w:rsidRPr="003D353F">
        <w:rPr>
          <w:color w:val="auto"/>
        </w:rPr>
        <w:t xml:space="preserve"> regular session</w:t>
      </w:r>
    </w:p>
    <w:p w14:paraId="109D1EC4" w14:textId="77777777" w:rsidR="00CD36CF" w:rsidRPr="003D353F" w:rsidRDefault="00B90459" w:rsidP="00F35C12">
      <w:pPr>
        <w:pStyle w:val="TitlePageBillPrefix"/>
        <w:rPr>
          <w:color w:val="auto"/>
        </w:rPr>
      </w:pPr>
      <w:sdt>
        <w:sdtPr>
          <w:rPr>
            <w:color w:val="auto"/>
          </w:rPr>
          <w:tag w:val="IntroDate"/>
          <w:id w:val="-1236936958"/>
          <w:placeholder>
            <w:docPart w:val="72C8C9289F274E44871E7C036DCC5560"/>
          </w:placeholder>
          <w:text/>
        </w:sdtPr>
        <w:sdtEndPr/>
        <w:sdtContent>
          <w:r w:rsidR="008C4888" w:rsidRPr="003D353F">
            <w:rPr>
              <w:color w:val="auto"/>
            </w:rPr>
            <w:t>Introduced</w:t>
          </w:r>
        </w:sdtContent>
      </w:sdt>
    </w:p>
    <w:p w14:paraId="76B1F71A" w14:textId="2E3826C4" w:rsidR="00CD36CF" w:rsidRPr="003D353F" w:rsidRDefault="00B90459" w:rsidP="00F35C12">
      <w:pPr>
        <w:pStyle w:val="BillNumber"/>
        <w:rPr>
          <w:color w:val="auto"/>
        </w:rPr>
      </w:pPr>
      <w:sdt>
        <w:sdtPr>
          <w:rPr>
            <w:color w:val="auto"/>
          </w:rPr>
          <w:tag w:val="Chamber"/>
          <w:id w:val="893011969"/>
          <w:lock w:val="sdtLocked"/>
          <w:placeholder>
            <w:docPart w:val="6982394E5D1F4F9584BE058A9F735C01"/>
          </w:placeholder>
          <w:dropDownList>
            <w:listItem w:displayText="House" w:value="House"/>
            <w:listItem w:displayText="Senate" w:value="Senate"/>
          </w:dropDownList>
        </w:sdtPr>
        <w:sdtEndPr/>
        <w:sdtContent>
          <w:r w:rsidR="00A9218C" w:rsidRPr="003D353F">
            <w:rPr>
              <w:color w:val="auto"/>
            </w:rPr>
            <w:t>Senate</w:t>
          </w:r>
        </w:sdtContent>
      </w:sdt>
      <w:r w:rsidR="00303684" w:rsidRPr="003D353F">
        <w:rPr>
          <w:color w:val="auto"/>
        </w:rPr>
        <w:t xml:space="preserve"> </w:t>
      </w:r>
      <w:r w:rsidR="00E379D8" w:rsidRPr="003D353F">
        <w:rPr>
          <w:color w:val="auto"/>
        </w:rPr>
        <w:t>Bill</w:t>
      </w:r>
      <w:r w:rsidR="00376062" w:rsidRPr="003D353F">
        <w:rPr>
          <w:color w:val="auto"/>
        </w:rPr>
        <w:t xml:space="preserve"> </w:t>
      </w:r>
      <w:sdt>
        <w:sdtPr>
          <w:rPr>
            <w:color w:val="auto"/>
          </w:rPr>
          <w:tag w:val="BNumWH"/>
          <w:id w:val="-544526420"/>
          <w:placeholder>
            <w:docPart w:val="785291F910034B83B769824B7C9CBE73"/>
          </w:placeholder>
          <w:text/>
        </w:sdtPr>
        <w:sdtEndPr/>
        <w:sdtContent>
          <w:r w:rsidR="00A6515C">
            <w:rPr>
              <w:color w:val="auto"/>
            </w:rPr>
            <w:t>592</w:t>
          </w:r>
        </w:sdtContent>
      </w:sdt>
    </w:p>
    <w:p w14:paraId="24619F9A" w14:textId="5E8B9197" w:rsidR="00CD36CF" w:rsidRPr="003D353F" w:rsidRDefault="00CD36CF" w:rsidP="00F35C12">
      <w:pPr>
        <w:pStyle w:val="Sponsors"/>
        <w:rPr>
          <w:color w:val="auto"/>
        </w:rPr>
      </w:pPr>
      <w:r w:rsidRPr="003D353F">
        <w:rPr>
          <w:color w:val="auto"/>
        </w:rPr>
        <w:t xml:space="preserve">By </w:t>
      </w:r>
      <w:sdt>
        <w:sdtPr>
          <w:rPr>
            <w:color w:val="auto"/>
          </w:rPr>
          <w:tag w:val="Sponsors"/>
          <w:id w:val="1589585889"/>
          <w:placeholder>
            <w:docPart w:val="018DA95A66DD403FB784ADBD2BE4FAB1"/>
          </w:placeholder>
          <w:text w:multiLine="1"/>
        </w:sdtPr>
        <w:sdtEndPr/>
        <w:sdtContent>
          <w:r w:rsidR="00A9218C" w:rsidRPr="003D353F">
            <w:rPr>
              <w:color w:val="auto"/>
            </w:rPr>
            <w:t>Senator</w:t>
          </w:r>
          <w:r w:rsidR="009C1C91">
            <w:rPr>
              <w:color w:val="auto"/>
            </w:rPr>
            <w:t>s</w:t>
          </w:r>
          <w:r w:rsidR="00A9218C" w:rsidRPr="003D353F">
            <w:rPr>
              <w:color w:val="auto"/>
            </w:rPr>
            <w:t xml:space="preserve"> Maynard</w:t>
          </w:r>
          <w:r w:rsidR="009C1C91">
            <w:rPr>
              <w:color w:val="auto"/>
            </w:rPr>
            <w:t>, Phillips, Tarr</w:t>
          </w:r>
          <w:r w:rsidR="000668FD">
            <w:rPr>
              <w:color w:val="auto"/>
            </w:rPr>
            <w:t>, and Rucker</w:t>
          </w:r>
        </w:sdtContent>
      </w:sdt>
    </w:p>
    <w:p w14:paraId="0C19529D" w14:textId="6EB5BC2A" w:rsidR="00E831B3" w:rsidRPr="003D353F" w:rsidRDefault="00B90459" w:rsidP="00951577">
      <w:pPr>
        <w:pStyle w:val="References"/>
        <w:rPr>
          <w:color w:val="auto"/>
        </w:rPr>
      </w:pPr>
      <w:sdt>
        <w:sdtPr>
          <w:rPr>
            <w:rFonts w:cs="Times New Roman"/>
            <w:color w:val="auto"/>
          </w:rPr>
          <w:tag w:val="References"/>
          <w:id w:val="-1043047873"/>
          <w:placeholder>
            <w:docPart w:val="467C8308CD854B85BEDF056F602F5A68"/>
          </w:placeholder>
          <w:text w:multiLine="1"/>
        </w:sdtPr>
        <w:sdtEndPr/>
        <w:sdtContent>
          <w:r w:rsidR="00951577" w:rsidRPr="003D353F">
            <w:rPr>
              <w:rFonts w:cs="Times New Roman"/>
              <w:color w:val="auto"/>
            </w:rPr>
            <w:t>[Introduced</w:t>
          </w:r>
          <w:r w:rsidR="00A6515C">
            <w:rPr>
              <w:rFonts w:cs="Times New Roman"/>
              <w:color w:val="auto"/>
            </w:rPr>
            <w:t xml:space="preserve"> February 08, 2022</w:t>
          </w:r>
          <w:r w:rsidR="00951577" w:rsidRPr="003D353F">
            <w:rPr>
              <w:rFonts w:cs="Times New Roman"/>
              <w:color w:val="auto"/>
            </w:rPr>
            <w:t>; referred</w:t>
          </w:r>
          <w:r w:rsidR="00951577" w:rsidRPr="003D353F">
            <w:rPr>
              <w:rFonts w:cs="Times New Roman"/>
              <w:color w:val="auto"/>
            </w:rPr>
            <w:br/>
            <w:t>to the Committee on</w:t>
          </w:r>
          <w:r w:rsidR="00F73259">
            <w:rPr>
              <w:rFonts w:cs="Times New Roman"/>
              <w:color w:val="auto"/>
            </w:rPr>
            <w:t xml:space="preserve"> the Judiciary</w:t>
          </w:r>
        </w:sdtContent>
      </w:sdt>
      <w:r w:rsidR="00CD36CF" w:rsidRPr="003D353F">
        <w:rPr>
          <w:color w:val="auto"/>
        </w:rPr>
        <w:t>]</w:t>
      </w:r>
    </w:p>
    <w:p w14:paraId="428315E5" w14:textId="21CB2A6D" w:rsidR="00303684" w:rsidRPr="003D353F" w:rsidRDefault="0000526A" w:rsidP="00F35C12">
      <w:pPr>
        <w:pStyle w:val="TitleSection"/>
        <w:rPr>
          <w:color w:val="auto"/>
        </w:rPr>
      </w:pPr>
      <w:r w:rsidRPr="003D353F">
        <w:rPr>
          <w:color w:val="auto"/>
        </w:rPr>
        <w:lastRenderedPageBreak/>
        <w:t>A BILL</w:t>
      </w:r>
      <w:r w:rsidR="003D68D5" w:rsidRPr="003D353F">
        <w:rPr>
          <w:color w:val="auto"/>
        </w:rPr>
        <w:t xml:space="preserve"> to</w:t>
      </w:r>
      <w:r w:rsidR="000524A5" w:rsidRPr="003D353F">
        <w:rPr>
          <w:color w:val="auto"/>
        </w:rPr>
        <w:t xml:space="preserve"> </w:t>
      </w:r>
      <w:r w:rsidR="000524A5" w:rsidRPr="003D353F">
        <w:rPr>
          <w:rFonts w:cs="Arial"/>
          <w:color w:val="auto"/>
        </w:rPr>
        <w:t xml:space="preserve">amend and reenact §46A-7-111 of the Code of West Virginia, 1931, as amended, relating to consumer credit and protection; </w:t>
      </w:r>
      <w:r w:rsidR="008D6E98">
        <w:rPr>
          <w:rFonts w:cs="Arial"/>
          <w:color w:val="auto"/>
        </w:rPr>
        <w:t xml:space="preserve">and </w:t>
      </w:r>
      <w:r w:rsidR="000524A5" w:rsidRPr="003D353F">
        <w:rPr>
          <w:rFonts w:cs="Arial"/>
          <w:color w:val="auto"/>
        </w:rPr>
        <w:t>clarifying the period for which the Attorney General may seek a civil penalty for violations of the Consumer Credit and Protection Act</w:t>
      </w:r>
      <w:r w:rsidR="000524A5" w:rsidRPr="003D353F">
        <w:rPr>
          <w:rFonts w:ascii="Times New Roman" w:hAnsi="Times New Roman" w:cs="Times New Roman"/>
          <w:color w:val="auto"/>
          <w:sz w:val="24"/>
          <w:szCs w:val="24"/>
        </w:rPr>
        <w:t>.</w:t>
      </w:r>
    </w:p>
    <w:p w14:paraId="39EBC942" w14:textId="77777777" w:rsidR="00303684" w:rsidRPr="003D353F" w:rsidRDefault="00303684" w:rsidP="00F35C12">
      <w:pPr>
        <w:pStyle w:val="EnactingClause"/>
        <w:rPr>
          <w:color w:val="auto"/>
        </w:rPr>
        <w:sectPr w:rsidR="00303684" w:rsidRPr="003D353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353F">
        <w:rPr>
          <w:color w:val="auto"/>
        </w:rPr>
        <w:t>Be it enacted by the Legislature of West Virginia:</w:t>
      </w:r>
    </w:p>
    <w:p w14:paraId="3D00BC39" w14:textId="308B5ACF" w:rsidR="000524A5" w:rsidRPr="003D353F" w:rsidRDefault="000524A5" w:rsidP="000524A5">
      <w:pPr>
        <w:pStyle w:val="ArticleHeading"/>
        <w:rPr>
          <w:color w:val="auto"/>
        </w:rPr>
      </w:pPr>
      <w:r w:rsidRPr="003D353F">
        <w:rPr>
          <w:color w:val="auto"/>
        </w:rPr>
        <w:t>ARTICLE 7. ADMINISTRATION</w:t>
      </w:r>
      <w:r w:rsidR="00091735" w:rsidRPr="003D353F">
        <w:rPr>
          <w:color w:val="auto"/>
        </w:rPr>
        <w:t>.</w:t>
      </w:r>
    </w:p>
    <w:p w14:paraId="6041A2AF" w14:textId="6D27717E" w:rsidR="000524A5" w:rsidRPr="003D353F" w:rsidRDefault="000524A5" w:rsidP="000524A5">
      <w:pPr>
        <w:pStyle w:val="SectionHeading"/>
        <w:rPr>
          <w:color w:val="auto"/>
        </w:rPr>
      </w:pPr>
      <w:r w:rsidRPr="003D353F">
        <w:rPr>
          <w:color w:val="auto"/>
        </w:rPr>
        <w:t>§46A-7-111. Civil actions by attorney general</w:t>
      </w:r>
      <w:r w:rsidR="00091735" w:rsidRPr="003D353F">
        <w:rPr>
          <w:color w:val="auto"/>
        </w:rPr>
        <w:t>.</w:t>
      </w:r>
    </w:p>
    <w:p w14:paraId="510AF475" w14:textId="427AA55D" w:rsidR="000524A5" w:rsidRPr="003D353F" w:rsidRDefault="000524A5" w:rsidP="000524A5">
      <w:pPr>
        <w:pStyle w:val="SectionBody"/>
        <w:rPr>
          <w:color w:val="auto"/>
        </w:rPr>
      </w:pPr>
      <w:r w:rsidRPr="003D353F">
        <w:rPr>
          <w:color w:val="auto"/>
        </w:rPr>
        <w:t>(1) After demand, the attorney general may bring a civil action against a creditor for making or collecting charges in excess of those permitted by this chapter. If it is found that an excess charge has been made, the court shall order the respondent to refund to the consumer the amount of the excess charge. If a creditor has made an excess charge in a deliberate violation of or in reckless disregard for this chapter, or if a creditor has refused to refund an excess charge within a reasonable time after demand by the consumer or the attorney general, the court may also order the respondent to pay to the consumer a civil penalty in an amount determined by the court not in excess of the greater of either the amount of the sales finance charge or loan finance charge or ten times the amount of the excess charge. Refunds and penalties to which the consumer is entitled pursuant to this subsection may be set off against the consumer</w:t>
      </w:r>
      <w:r w:rsidR="00E54470" w:rsidRPr="003D353F">
        <w:rPr>
          <w:color w:val="auto"/>
        </w:rPr>
        <w:t>’</w:t>
      </w:r>
      <w:r w:rsidRPr="003D353F">
        <w:rPr>
          <w:color w:val="auto"/>
        </w:rPr>
        <w:t>s obligation. If a consumer brings an action against a creditor to recover an excess charge or civil penalty, an action by the attorney general to recover for the same excess charge shall be stayed while the consumer's action is pending and shall be dismissed if the consumer</w:t>
      </w:r>
      <w:r w:rsidR="003B2F64" w:rsidRPr="003D353F">
        <w:rPr>
          <w:color w:val="auto"/>
        </w:rPr>
        <w:t>’</w:t>
      </w:r>
      <w:r w:rsidRPr="003D353F">
        <w:rPr>
          <w:color w:val="auto"/>
        </w:rPr>
        <w:t xml:space="preserve">s action is dismissed with prejudice or results in a final judgment granting or denying the consumer's claim. With respect to excess charges arising from consumer credit sales made pursuant to revolving charge accounts or from consumer loans made pursuant to revolving loan accounts, no action pursuant to this subsection may be brought more than four years after the time the excess charge was made. With respect to excess charges arising from other consumer credit sales or consumer loans, no action pursuant to this subsection may be brought more than one year after the due date of the </w:t>
      </w:r>
      <w:r w:rsidRPr="003D353F">
        <w:rPr>
          <w:color w:val="auto"/>
        </w:rPr>
        <w:lastRenderedPageBreak/>
        <w:t>last scheduled payment of the agreement pursuant to which the charge was made. If the creditor establishes by a preponderance of evidence that a violation is unintentional or the result of a bona fide error, no liability to pay a penalty shall be imposed under this subsection.</w:t>
      </w:r>
    </w:p>
    <w:p w14:paraId="2C510106" w14:textId="323886AB" w:rsidR="000524A5" w:rsidRPr="003D353F" w:rsidRDefault="000524A5" w:rsidP="000524A5">
      <w:pPr>
        <w:pStyle w:val="SectionBody"/>
        <w:rPr>
          <w:color w:val="auto"/>
          <w:u w:val="single"/>
        </w:rPr>
      </w:pPr>
      <w:r w:rsidRPr="003D353F">
        <w:rPr>
          <w:color w:val="auto"/>
        </w:rPr>
        <w:t xml:space="preserve">(2) The attorney general may bring a civil action against a creditor or other person to recover a civil penalty for willfully violating this chapter, and if the court finds that the defendant has engaged in a course of repeated and willful violations of this chapter, it may assess a civil penalty of no more than $5,000 for each violation of this chapter. No civil penalty pursuant to this subsection may be imposed for violations of this chapter occurring more than four years before the action is brought. </w:t>
      </w:r>
      <w:r w:rsidRPr="003D353F">
        <w:rPr>
          <w:color w:val="auto"/>
          <w:u w:val="single"/>
        </w:rPr>
        <w:t>This four-year period is not subject to tolling pursuant to any legal, equitable, or other doctrine.</w:t>
      </w:r>
    </w:p>
    <w:p w14:paraId="3FBEE041" w14:textId="2F49EC95" w:rsidR="00C33014" w:rsidRPr="003D353F" w:rsidRDefault="000524A5" w:rsidP="000524A5">
      <w:pPr>
        <w:pStyle w:val="SectionBody"/>
        <w:rPr>
          <w:color w:val="auto"/>
          <w:u w:val="single"/>
        </w:rPr>
      </w:pPr>
      <w:r w:rsidRPr="003D353F">
        <w:rPr>
          <w:color w:val="auto"/>
          <w:u w:val="single"/>
        </w:rPr>
        <w:t>(3) The amendments made to this section during the 2022 regular session of the Legislature apply to all civil actions pending on or filed on or after the effective date of the amendments.</w:t>
      </w:r>
    </w:p>
    <w:p w14:paraId="18ADF894" w14:textId="2718E033" w:rsidR="006865E9" w:rsidRPr="003D353F" w:rsidRDefault="00CF1DCA" w:rsidP="00F35C12">
      <w:pPr>
        <w:pStyle w:val="Note"/>
        <w:rPr>
          <w:color w:val="auto"/>
        </w:rPr>
      </w:pPr>
      <w:r w:rsidRPr="003D353F">
        <w:rPr>
          <w:color w:val="auto"/>
        </w:rPr>
        <w:t>NOTE: The</w:t>
      </w:r>
      <w:r w:rsidR="006865E9" w:rsidRPr="003D353F">
        <w:rPr>
          <w:color w:val="auto"/>
        </w:rPr>
        <w:t xml:space="preserve"> purpose of this bill is to </w:t>
      </w:r>
      <w:r w:rsidR="000524A5" w:rsidRPr="003D353F">
        <w:rPr>
          <w:rStyle w:val="LineNumber"/>
          <w:rFonts w:cs="Times New Roman"/>
          <w:color w:val="auto"/>
          <w:szCs w:val="24"/>
        </w:rPr>
        <w:t xml:space="preserve">clarify existing law providing that the Attorney General may seek civil penalties for each violation of the Consumer Credit and Protection Act as far back as four years prior to bringing an action. The bill clarifies that courts may not extend this period through tolling, rejecting </w:t>
      </w:r>
      <w:r w:rsidR="000524A5" w:rsidRPr="003D353F">
        <w:rPr>
          <w:rStyle w:val="LineNumber"/>
          <w:rFonts w:cs="Times New Roman"/>
          <w:i/>
          <w:color w:val="auto"/>
          <w:szCs w:val="24"/>
        </w:rPr>
        <w:t>State of West Virginia, ex rel. 3M Co. v. Hoke</w:t>
      </w:r>
      <w:r w:rsidR="000524A5" w:rsidRPr="003D353F">
        <w:rPr>
          <w:rStyle w:val="LineNumber"/>
          <w:rFonts w:cs="Times New Roman"/>
          <w:color w:val="auto"/>
          <w:szCs w:val="24"/>
        </w:rPr>
        <w:t>, 852 S.E.2d 799 (W. Va. 2020), in which the Supreme Court of Appeals, for the first time, applied such principles to §46A-7-111(2).</w:t>
      </w:r>
    </w:p>
    <w:p w14:paraId="65260CDF" w14:textId="77777777" w:rsidR="006865E9" w:rsidRPr="003D353F" w:rsidRDefault="00AE48A0" w:rsidP="00F35C12">
      <w:pPr>
        <w:pStyle w:val="Note"/>
        <w:rPr>
          <w:color w:val="auto"/>
        </w:rPr>
      </w:pPr>
      <w:r w:rsidRPr="003D353F">
        <w:rPr>
          <w:color w:val="auto"/>
        </w:rPr>
        <w:t>Strike-throughs indicate language that would be stricken from a heading or the present law and underscoring indicates new language that would be added.</w:t>
      </w:r>
    </w:p>
    <w:sectPr w:rsidR="006865E9" w:rsidRPr="003D353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1EC9" w14:textId="77777777" w:rsidR="00A9218C" w:rsidRPr="00B844FE" w:rsidRDefault="00A9218C" w:rsidP="00B844FE">
      <w:r>
        <w:separator/>
      </w:r>
    </w:p>
  </w:endnote>
  <w:endnote w:type="continuationSeparator" w:id="0">
    <w:p w14:paraId="43A392B7" w14:textId="77777777" w:rsidR="00A9218C" w:rsidRPr="00B844FE" w:rsidRDefault="00A921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CA16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D083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98B4E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AF4F" w14:textId="77777777" w:rsidR="00A9218C" w:rsidRPr="00B844FE" w:rsidRDefault="00A9218C" w:rsidP="00B844FE">
      <w:r>
        <w:separator/>
      </w:r>
    </w:p>
  </w:footnote>
  <w:footnote w:type="continuationSeparator" w:id="0">
    <w:p w14:paraId="30D79F03" w14:textId="77777777" w:rsidR="00A9218C" w:rsidRPr="00B844FE" w:rsidRDefault="00A921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DCA9" w14:textId="77777777" w:rsidR="002A0269" w:rsidRPr="00B844FE" w:rsidRDefault="00B90459">
    <w:pPr>
      <w:pStyle w:val="Header"/>
    </w:pPr>
    <w:sdt>
      <w:sdtPr>
        <w:id w:val="-684364211"/>
        <w:placeholder>
          <w:docPart w:val="6982394E5D1F4F9584BE058A9F735C01"/>
        </w:placeholder>
        <w:temporary/>
        <w:showingPlcHdr/>
        <w15:appearance w15:val="hidden"/>
      </w:sdtPr>
      <w:sdtEndPr/>
      <w:sdtContent>
        <w:r w:rsidR="00F07B49" w:rsidRPr="00B844FE">
          <w:t>[Type here]</w:t>
        </w:r>
      </w:sdtContent>
    </w:sdt>
    <w:r w:rsidR="002A0269" w:rsidRPr="00B844FE">
      <w:ptab w:relativeTo="margin" w:alignment="left" w:leader="none"/>
    </w:r>
    <w:sdt>
      <w:sdtPr>
        <w:id w:val="-556240388"/>
        <w:placeholder>
          <w:docPart w:val="6982394E5D1F4F9584BE058A9F735C01"/>
        </w:placeholder>
        <w:temporary/>
        <w:showingPlcHdr/>
        <w15:appearance w15:val="hidden"/>
      </w:sdtPr>
      <w:sdtEndPr/>
      <w:sdtContent>
        <w:r w:rsidR="00F07B4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121B" w14:textId="78301DE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A9218C">
      <w:t>SB</w:t>
    </w:r>
    <w:r w:rsidR="00A6515C">
      <w:t xml:space="preserve"> 592</w:t>
    </w:r>
    <w:r w:rsidRPr="00686E9A">
      <w:ptab w:relativeTo="margin" w:alignment="center" w:leader="none"/>
    </w:r>
    <w:r w:rsidRPr="00686E9A">
      <w:tab/>
    </w:r>
    <w:sdt>
      <w:sdtPr>
        <w:alias w:val="CBD Number"/>
        <w:tag w:val="CBD Number"/>
        <w:id w:val="1176923086"/>
        <w:text/>
      </w:sdtPr>
      <w:sdtEndPr/>
      <w:sdtContent>
        <w:r>
          <w:t>2022R</w:t>
        </w:r>
      </w:sdtContent>
    </w:sdt>
    <w:r w:rsidR="00A9218C">
      <w:t>2428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8C"/>
    <w:rsid w:val="0000526A"/>
    <w:rsid w:val="00042BC7"/>
    <w:rsid w:val="000524A5"/>
    <w:rsid w:val="000606B0"/>
    <w:rsid w:val="000668FD"/>
    <w:rsid w:val="00085D22"/>
    <w:rsid w:val="00091735"/>
    <w:rsid w:val="000C5C77"/>
    <w:rsid w:val="000D16AD"/>
    <w:rsid w:val="0010070F"/>
    <w:rsid w:val="0015112E"/>
    <w:rsid w:val="001552E7"/>
    <w:rsid w:val="001566B4"/>
    <w:rsid w:val="001971D6"/>
    <w:rsid w:val="001C279E"/>
    <w:rsid w:val="001D459E"/>
    <w:rsid w:val="0027011C"/>
    <w:rsid w:val="00274200"/>
    <w:rsid w:val="00275740"/>
    <w:rsid w:val="0029335D"/>
    <w:rsid w:val="002A0269"/>
    <w:rsid w:val="00302A28"/>
    <w:rsid w:val="00303684"/>
    <w:rsid w:val="003143F5"/>
    <w:rsid w:val="00314854"/>
    <w:rsid w:val="00375F81"/>
    <w:rsid w:val="00376062"/>
    <w:rsid w:val="003B2F64"/>
    <w:rsid w:val="003C51CD"/>
    <w:rsid w:val="003D353F"/>
    <w:rsid w:val="003D68D5"/>
    <w:rsid w:val="004247A2"/>
    <w:rsid w:val="00470D6E"/>
    <w:rsid w:val="004B2795"/>
    <w:rsid w:val="004C13DD"/>
    <w:rsid w:val="004E3441"/>
    <w:rsid w:val="004F2845"/>
    <w:rsid w:val="00510B73"/>
    <w:rsid w:val="00522CDB"/>
    <w:rsid w:val="00551C13"/>
    <w:rsid w:val="005741AF"/>
    <w:rsid w:val="005A5366"/>
    <w:rsid w:val="00637E73"/>
    <w:rsid w:val="006865E9"/>
    <w:rsid w:val="00691F3E"/>
    <w:rsid w:val="00694BFB"/>
    <w:rsid w:val="006A106B"/>
    <w:rsid w:val="006C523D"/>
    <w:rsid w:val="006D4036"/>
    <w:rsid w:val="006F3704"/>
    <w:rsid w:val="00704CB3"/>
    <w:rsid w:val="007C2B4B"/>
    <w:rsid w:val="007E02CF"/>
    <w:rsid w:val="007F1CF5"/>
    <w:rsid w:val="00834EDE"/>
    <w:rsid w:val="008736AA"/>
    <w:rsid w:val="008C4888"/>
    <w:rsid w:val="008D275D"/>
    <w:rsid w:val="008D6E98"/>
    <w:rsid w:val="00951577"/>
    <w:rsid w:val="00974998"/>
    <w:rsid w:val="00974F15"/>
    <w:rsid w:val="00980327"/>
    <w:rsid w:val="009C1C91"/>
    <w:rsid w:val="009F1067"/>
    <w:rsid w:val="00A31E01"/>
    <w:rsid w:val="00A527AD"/>
    <w:rsid w:val="00A6515C"/>
    <w:rsid w:val="00A718CF"/>
    <w:rsid w:val="00A760BE"/>
    <w:rsid w:val="00A9218C"/>
    <w:rsid w:val="00AE44D3"/>
    <w:rsid w:val="00AE48A0"/>
    <w:rsid w:val="00AE61BE"/>
    <w:rsid w:val="00AE7C3E"/>
    <w:rsid w:val="00B16F25"/>
    <w:rsid w:val="00B24422"/>
    <w:rsid w:val="00B658B6"/>
    <w:rsid w:val="00B80C20"/>
    <w:rsid w:val="00B844FE"/>
    <w:rsid w:val="00B90459"/>
    <w:rsid w:val="00BC562B"/>
    <w:rsid w:val="00C13D12"/>
    <w:rsid w:val="00C33014"/>
    <w:rsid w:val="00C33434"/>
    <w:rsid w:val="00C34869"/>
    <w:rsid w:val="00C36CCA"/>
    <w:rsid w:val="00C42EB6"/>
    <w:rsid w:val="00C81A8F"/>
    <w:rsid w:val="00C828C3"/>
    <w:rsid w:val="00C85096"/>
    <w:rsid w:val="00CB20EF"/>
    <w:rsid w:val="00CB2889"/>
    <w:rsid w:val="00CD12CB"/>
    <w:rsid w:val="00CD36CF"/>
    <w:rsid w:val="00CF1DCA"/>
    <w:rsid w:val="00D02224"/>
    <w:rsid w:val="00D579FC"/>
    <w:rsid w:val="00DE526B"/>
    <w:rsid w:val="00DF199D"/>
    <w:rsid w:val="00E01542"/>
    <w:rsid w:val="00E12FEF"/>
    <w:rsid w:val="00E365F1"/>
    <w:rsid w:val="00E379D8"/>
    <w:rsid w:val="00E54470"/>
    <w:rsid w:val="00E62F48"/>
    <w:rsid w:val="00E633EF"/>
    <w:rsid w:val="00E831B3"/>
    <w:rsid w:val="00EE05C4"/>
    <w:rsid w:val="00EE70CB"/>
    <w:rsid w:val="00F07B49"/>
    <w:rsid w:val="00F20003"/>
    <w:rsid w:val="00F23775"/>
    <w:rsid w:val="00F33EFF"/>
    <w:rsid w:val="00F35C12"/>
    <w:rsid w:val="00F37F5C"/>
    <w:rsid w:val="00F41CA2"/>
    <w:rsid w:val="00F443C0"/>
    <w:rsid w:val="00F62EFB"/>
    <w:rsid w:val="00F7325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843A39"/>
  <w15:chartTrackingRefBased/>
  <w15:docId w15:val="{8AEC8B8C-9DA9-457F-929D-D40A06AC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5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8C9289F274E44871E7C036DCC5560"/>
        <w:category>
          <w:name w:val="General"/>
          <w:gallery w:val="placeholder"/>
        </w:category>
        <w:types>
          <w:type w:val="bbPlcHdr"/>
        </w:types>
        <w:behaviors>
          <w:behavior w:val="content"/>
        </w:behaviors>
        <w:guid w:val="{E94EAB70-2B3C-4929-82F6-B1B885FF03F9}"/>
      </w:docPartPr>
      <w:docPartBody>
        <w:p w:rsidR="008717F5" w:rsidRDefault="008717F5">
          <w:pPr>
            <w:pStyle w:val="72C8C9289F274E44871E7C036DCC5560"/>
          </w:pPr>
          <w:r w:rsidRPr="00B844FE">
            <w:t>Prefix Text</w:t>
          </w:r>
        </w:p>
      </w:docPartBody>
    </w:docPart>
    <w:docPart>
      <w:docPartPr>
        <w:name w:val="6982394E5D1F4F9584BE058A9F735C01"/>
        <w:category>
          <w:name w:val="General"/>
          <w:gallery w:val="placeholder"/>
        </w:category>
        <w:types>
          <w:type w:val="bbPlcHdr"/>
        </w:types>
        <w:behaviors>
          <w:behavior w:val="content"/>
        </w:behaviors>
        <w:guid w:val="{92BCBC62-EC5B-418B-B695-4AB65A513BB8}"/>
      </w:docPartPr>
      <w:docPartBody>
        <w:p w:rsidR="008717F5" w:rsidRDefault="008717F5">
          <w:pPr>
            <w:pStyle w:val="6982394E5D1F4F9584BE058A9F735C01"/>
          </w:pPr>
          <w:r w:rsidRPr="00B844FE">
            <w:t>[Type here]</w:t>
          </w:r>
        </w:p>
      </w:docPartBody>
    </w:docPart>
    <w:docPart>
      <w:docPartPr>
        <w:name w:val="785291F910034B83B769824B7C9CBE73"/>
        <w:category>
          <w:name w:val="General"/>
          <w:gallery w:val="placeholder"/>
        </w:category>
        <w:types>
          <w:type w:val="bbPlcHdr"/>
        </w:types>
        <w:behaviors>
          <w:behavior w:val="content"/>
        </w:behaviors>
        <w:guid w:val="{7469FA83-7D6F-4CBB-8973-EE75FD03E2E4}"/>
      </w:docPartPr>
      <w:docPartBody>
        <w:p w:rsidR="008717F5" w:rsidRDefault="008717F5">
          <w:pPr>
            <w:pStyle w:val="785291F910034B83B769824B7C9CBE73"/>
          </w:pPr>
          <w:r>
            <w:rPr>
              <w:rStyle w:val="PlaceholderText"/>
            </w:rPr>
            <w:t>Number</w:t>
          </w:r>
        </w:p>
      </w:docPartBody>
    </w:docPart>
    <w:docPart>
      <w:docPartPr>
        <w:name w:val="018DA95A66DD403FB784ADBD2BE4FAB1"/>
        <w:category>
          <w:name w:val="General"/>
          <w:gallery w:val="placeholder"/>
        </w:category>
        <w:types>
          <w:type w:val="bbPlcHdr"/>
        </w:types>
        <w:behaviors>
          <w:behavior w:val="content"/>
        </w:behaviors>
        <w:guid w:val="{A780AD2A-1FC8-481C-AFBD-0447C8CBCE11}"/>
      </w:docPartPr>
      <w:docPartBody>
        <w:p w:rsidR="008717F5" w:rsidRDefault="008717F5">
          <w:pPr>
            <w:pStyle w:val="018DA95A66DD403FB784ADBD2BE4FAB1"/>
          </w:pPr>
          <w:r w:rsidRPr="00B844FE">
            <w:t>Enter Sponsors Here</w:t>
          </w:r>
        </w:p>
      </w:docPartBody>
    </w:docPart>
    <w:docPart>
      <w:docPartPr>
        <w:name w:val="467C8308CD854B85BEDF056F602F5A68"/>
        <w:category>
          <w:name w:val="General"/>
          <w:gallery w:val="placeholder"/>
        </w:category>
        <w:types>
          <w:type w:val="bbPlcHdr"/>
        </w:types>
        <w:behaviors>
          <w:behavior w:val="content"/>
        </w:behaviors>
        <w:guid w:val="{A729D5FF-DB66-4F46-9658-B33EAEDEBFE5}"/>
      </w:docPartPr>
      <w:docPartBody>
        <w:p w:rsidR="008717F5" w:rsidRDefault="008717F5">
          <w:pPr>
            <w:pStyle w:val="467C8308CD854B85BEDF056F602F5A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F5"/>
    <w:rsid w:val="0087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C8C9289F274E44871E7C036DCC5560">
    <w:name w:val="72C8C9289F274E44871E7C036DCC5560"/>
  </w:style>
  <w:style w:type="paragraph" w:customStyle="1" w:styleId="6982394E5D1F4F9584BE058A9F735C01">
    <w:name w:val="6982394E5D1F4F9584BE058A9F735C01"/>
  </w:style>
  <w:style w:type="character" w:styleId="PlaceholderText">
    <w:name w:val="Placeholder Text"/>
    <w:basedOn w:val="DefaultParagraphFont"/>
    <w:uiPriority w:val="99"/>
    <w:semiHidden/>
    <w:rPr>
      <w:color w:val="808080"/>
    </w:rPr>
  </w:style>
  <w:style w:type="paragraph" w:customStyle="1" w:styleId="785291F910034B83B769824B7C9CBE73">
    <w:name w:val="785291F910034B83B769824B7C9CBE73"/>
  </w:style>
  <w:style w:type="paragraph" w:customStyle="1" w:styleId="018DA95A66DD403FB784ADBD2BE4FAB1">
    <w:name w:val="018DA95A66DD403FB784ADBD2BE4FAB1"/>
  </w:style>
  <w:style w:type="paragraph" w:customStyle="1" w:styleId="467C8308CD854B85BEDF056F602F5A68">
    <w:name w:val="467C8308CD854B85BEDF056F602F5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16</cp:revision>
  <cp:lastPrinted>2022-02-03T19:05:00Z</cp:lastPrinted>
  <dcterms:created xsi:type="dcterms:W3CDTF">2022-01-31T13:17:00Z</dcterms:created>
  <dcterms:modified xsi:type="dcterms:W3CDTF">2022-02-10T20:11:00Z</dcterms:modified>
</cp:coreProperties>
</file>